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长春工业大学第二十届大学生电子设计竞赛试题</w:t>
      </w:r>
    </w:p>
    <w:p>
      <w:pPr>
        <w:spacing w:line="30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参赛注意事项</w:t>
      </w:r>
    </w:p>
    <w:tbl>
      <w:tblPr>
        <w:tblStyle w:val="8"/>
        <w:tblW w:w="0" w:type="auto"/>
        <w:tblInd w:w="288" w:type="dxa"/>
        <w:tblBorders>
          <w:top w:val="none" w:color="auto" w:sz="0" w:space="0"/>
          <w:left w:val="none" w:color="auto" w:sz="0" w:space="0"/>
          <w:bottom w:val="doub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none" w:color="auto" w:sz="0" w:space="0"/>
            <w:left w:val="none" w:color="auto" w:sz="0" w:space="0"/>
            <w:bottom w:val="doub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（1）20</w:t>
            </w:r>
            <w:r>
              <w:rPr>
                <w:rFonts w:hint="eastAsia"/>
                <w:sz w:val="21"/>
                <w:szCs w:val="21"/>
              </w:rPr>
              <w:t>21</w:t>
            </w:r>
            <w:r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XX</w:t>
            </w:r>
            <w:r>
              <w:rPr>
                <w:sz w:val="21"/>
                <w:szCs w:val="21"/>
              </w:rPr>
              <w:t>日竞赛正式开始，20</w:t>
            </w:r>
            <w:r>
              <w:rPr>
                <w:rFonts w:hint="eastAsia"/>
                <w:sz w:val="21"/>
                <w:szCs w:val="21"/>
              </w:rPr>
              <w:t>21</w:t>
            </w:r>
            <w:r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XX</w:t>
            </w:r>
            <w:r>
              <w:rPr>
                <w:sz w:val="21"/>
                <w:szCs w:val="21"/>
              </w:rPr>
              <w:t>日竞赛结束。请各参赛队于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>XX</w:t>
            </w:r>
            <w:r>
              <w:rPr>
                <w:sz w:val="21"/>
                <w:szCs w:val="21"/>
              </w:rPr>
              <w:t>日早8：00将设计报告、制作实物上交到指定的测试地点参加测试（具体测试地点另行通知）。</w:t>
            </w:r>
          </w:p>
          <w:p>
            <w:pPr>
              <w:ind w:left="2"/>
            </w:pPr>
            <w:r>
              <w:rPr>
                <w:sz w:val="21"/>
                <w:szCs w:val="21"/>
              </w:rPr>
              <w:t>（2）参赛者必须是我校全日制在校本、</w:t>
            </w:r>
            <w:r>
              <w:rPr>
                <w:rFonts w:hint="eastAsia"/>
                <w:sz w:val="21"/>
                <w:szCs w:val="21"/>
              </w:rPr>
              <w:t>高职</w:t>
            </w:r>
            <w:r>
              <w:rPr>
                <w:sz w:val="21"/>
                <w:szCs w:val="21"/>
              </w:rPr>
              <w:t>学生</w:t>
            </w:r>
            <w:r>
              <w:rPr>
                <w:rFonts w:hint="eastAsia"/>
                <w:sz w:val="21"/>
                <w:szCs w:val="21"/>
              </w:rPr>
              <w:t>（分为本科组和高职组，若组内有本科生，即视为本科组）</w:t>
            </w:r>
            <w:r>
              <w:rPr>
                <w:sz w:val="21"/>
                <w:szCs w:val="21"/>
              </w:rPr>
              <w:t>，每名参赛者只能报名参加一个参赛队，每个参赛队成员最多5人；测试期间，参赛者须携带能够证明身份的有效证件（如学生证、校园一卡通等）参加比赛。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（3）要求指导教师是我校在校教师，其所学专业或工作经历与竞赛所涉及的专业有关，其他非本专业教师指导参赛的，须向学校提出申请，经学校批准后可以指导参赛；每名指导教师</w:t>
            </w:r>
            <w:r>
              <w:rPr>
                <w:rFonts w:hint="eastAsia"/>
                <w:sz w:val="21"/>
                <w:szCs w:val="21"/>
              </w:rPr>
              <w:t>原则上只允许指导一</w:t>
            </w:r>
            <w:r>
              <w:rPr>
                <w:sz w:val="21"/>
                <w:szCs w:val="21"/>
              </w:rPr>
              <w:t>个参赛队。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（4）对于未获奖的参赛队，学校将不予经费资助。</w:t>
            </w: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rPr>
          <w:rFonts w:ascii="Times New Roman"/>
        </w:rPr>
        <w:sectPr>
          <w:type w:val="continuous"/>
          <w:pgSz w:w="11900" w:h="16840"/>
          <w:pgMar w:top="1600" w:right="1260" w:bottom="280" w:left="1680" w:header="720" w:footer="720" w:gutter="0"/>
          <w:cols w:space="720" w:num="1"/>
        </w:sectPr>
      </w:pPr>
    </w:p>
    <w:p>
      <w:pPr>
        <w:pStyle w:val="4"/>
        <w:rPr>
          <w:rFonts w:ascii="Times New Roman"/>
          <w:sz w:val="24"/>
        </w:rPr>
      </w:pPr>
    </w:p>
    <w:p>
      <w:pPr>
        <w:pStyle w:val="4"/>
        <w:spacing w:before="9"/>
        <w:rPr>
          <w:rFonts w:ascii="Times New Roman"/>
          <w:sz w:val="30"/>
        </w:rPr>
      </w:pPr>
    </w:p>
    <w:p>
      <w:pPr>
        <w:autoSpaceDE/>
        <w:autoSpaceDN/>
        <w:snapToGrid w:val="0"/>
        <w:rPr>
          <w:b/>
          <w:bCs/>
          <w:sz w:val="28"/>
          <w:szCs w:val="28"/>
        </w:rPr>
      </w:pPr>
      <w:bookmarkStart w:id="0" w:name="一、任务"/>
      <w:bookmarkEnd w:id="0"/>
      <w:r>
        <w:rPr>
          <w:rFonts w:hint="eastAsia"/>
          <w:b/>
          <w:bCs/>
          <w:sz w:val="28"/>
          <w:szCs w:val="28"/>
        </w:rPr>
        <w:t>一、任务</w:t>
      </w:r>
    </w:p>
    <w:p>
      <w:pPr>
        <w:pStyle w:val="7"/>
        <w:spacing w:line="350" w:lineRule="auto"/>
        <w:ind w:left="0"/>
        <w:jc w:val="left"/>
        <w:rPr>
          <w:rFonts w:ascii="黑体" w:hAnsi="黑体" w:eastAsia="黑体"/>
          <w:sz w:val="36"/>
          <w:szCs w:val="36"/>
        </w:rPr>
      </w:pPr>
      <w:r>
        <w:br w:type="column"/>
      </w:r>
      <w:bookmarkStart w:id="1" w:name="第二十届长春工业大学电子设计竞赛试题"/>
      <w:bookmarkEnd w:id="1"/>
      <w:bookmarkStart w:id="2" w:name="简易旋转倒立摆及控制装置"/>
      <w:bookmarkEnd w:id="2"/>
      <w:r>
        <w:rPr>
          <w:rFonts w:ascii="黑体" w:hAnsi="黑体" w:eastAsia="黑体"/>
          <w:sz w:val="36"/>
          <w:szCs w:val="36"/>
        </w:rPr>
        <w:t>简易旋转倒立摆及控制装置</w:t>
      </w:r>
      <w:r>
        <w:rPr>
          <w:rFonts w:hint="eastAsia" w:ascii="黑体" w:hAnsi="黑体" w:cs="黑体"/>
          <w:sz w:val="36"/>
          <w:szCs w:val="36"/>
        </w:rPr>
        <w:t>（F题）</w:t>
      </w:r>
    </w:p>
    <w:p>
      <w:pPr>
        <w:spacing w:line="246" w:lineRule="exact"/>
        <w:jc w:val="center"/>
        <w:sectPr>
          <w:type w:val="continuous"/>
          <w:pgSz w:w="11900" w:h="16840"/>
          <w:pgMar w:top="1600" w:right="1260" w:bottom="280" w:left="1680" w:header="720" w:footer="720" w:gutter="0"/>
          <w:cols w:equalWidth="0" w:num="2">
            <w:col w:w="1489" w:space="40"/>
            <w:col w:w="7431"/>
          </w:cols>
        </w:sectPr>
      </w:pPr>
      <w:bookmarkStart w:id="3" w:name="【本科组】"/>
      <w:bookmarkEnd w:id="3"/>
    </w:p>
    <w:p>
      <w:pPr>
        <w:pStyle w:val="4"/>
        <w:spacing w:before="3"/>
        <w:rPr>
          <w:sz w:val="14"/>
        </w:rPr>
      </w:pPr>
    </w:p>
    <w:p>
      <w:pPr>
        <w:pStyle w:val="4"/>
        <w:spacing w:line="400" w:lineRule="exact"/>
        <w:ind w:firstLine="472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pacing w:val="-2"/>
          <w:sz w:val="24"/>
          <w:szCs w:val="24"/>
        </w:rPr>
        <w:t>设计并制</w:t>
      </w:r>
      <w:bookmarkStart w:id="6" w:name="_GoBack"/>
      <w:bookmarkEnd w:id="6"/>
      <w:r>
        <w:rPr>
          <w:rFonts w:asciiTheme="minorEastAsia" w:hAnsiTheme="minorEastAsia" w:eastAsiaTheme="minorEastAsia"/>
          <w:spacing w:val="-2"/>
          <w:sz w:val="24"/>
          <w:szCs w:val="24"/>
        </w:rPr>
        <w:t xml:space="preserve">作简易二阶旋转倒立摆及其控制装置。旋转倒立摆的结构如图 </w:t>
      </w:r>
      <w:r>
        <w:rPr>
          <w:rFonts w:asciiTheme="minorEastAsia" w:hAnsiTheme="minorEastAsia" w:eastAsiaTheme="minorEastAsia"/>
          <w:sz w:val="24"/>
          <w:szCs w:val="24"/>
        </w:rPr>
        <w:t xml:space="preserve">1 </w:t>
      </w:r>
      <w:r>
        <w:rPr>
          <w:rFonts w:asciiTheme="minorEastAsia" w:hAnsiTheme="minorEastAsia" w:eastAsiaTheme="minorEastAsia"/>
          <w:spacing w:val="6"/>
          <w:sz w:val="24"/>
          <w:szCs w:val="24"/>
        </w:rPr>
        <w:t>所 示。电动机</w:t>
      </w:r>
      <w:r>
        <w:rPr>
          <w:rFonts w:asciiTheme="minorEastAsia" w:hAnsiTheme="minorEastAsia" w:eastAsiaTheme="minorEastAsia"/>
          <w:sz w:val="24"/>
          <w:szCs w:val="24"/>
        </w:rPr>
        <w:t xml:space="preserve">A </w:t>
      </w:r>
      <w:r>
        <w:rPr>
          <w:rFonts w:asciiTheme="minorEastAsia" w:hAnsiTheme="minorEastAsia" w:eastAsiaTheme="minorEastAsia"/>
          <w:spacing w:val="-8"/>
          <w:sz w:val="24"/>
          <w:szCs w:val="24"/>
        </w:rPr>
        <w:t xml:space="preserve">固定在支架 </w:t>
      </w:r>
      <w:r>
        <w:rPr>
          <w:rFonts w:asciiTheme="minorEastAsia" w:hAnsiTheme="minorEastAsia" w:eastAsiaTheme="minorEastAsia"/>
          <w:sz w:val="24"/>
          <w:szCs w:val="24"/>
        </w:rPr>
        <w:t xml:space="preserve">B </w:t>
      </w:r>
      <w:r>
        <w:rPr>
          <w:rFonts w:asciiTheme="minorEastAsia" w:hAnsiTheme="minorEastAsia" w:eastAsiaTheme="minorEastAsia"/>
          <w:spacing w:val="-7"/>
          <w:sz w:val="24"/>
          <w:szCs w:val="24"/>
        </w:rPr>
        <w:t xml:space="preserve">上，通过转轴 </w:t>
      </w:r>
      <w:r>
        <w:rPr>
          <w:rFonts w:asciiTheme="minorEastAsia" w:hAnsiTheme="minorEastAsia" w:eastAsiaTheme="minorEastAsia"/>
          <w:sz w:val="24"/>
          <w:szCs w:val="24"/>
        </w:rPr>
        <w:t xml:space="preserve">F </w:t>
      </w:r>
      <w:r>
        <w:rPr>
          <w:rFonts w:asciiTheme="minorEastAsia" w:hAnsiTheme="minorEastAsia" w:eastAsiaTheme="minorEastAsia"/>
          <w:spacing w:val="-8"/>
          <w:sz w:val="24"/>
          <w:szCs w:val="24"/>
        </w:rPr>
        <w:t xml:space="preserve">驱动旋转臂 </w:t>
      </w:r>
      <w:r>
        <w:rPr>
          <w:rFonts w:asciiTheme="minorEastAsia" w:hAnsiTheme="minorEastAsia" w:eastAsiaTheme="minorEastAsia"/>
          <w:sz w:val="24"/>
          <w:szCs w:val="24"/>
        </w:rPr>
        <w:t xml:space="preserve">C </w:t>
      </w:r>
      <w:r>
        <w:rPr>
          <w:rFonts w:asciiTheme="minorEastAsia" w:hAnsiTheme="minorEastAsia" w:eastAsiaTheme="minorEastAsia"/>
          <w:spacing w:val="8"/>
          <w:sz w:val="24"/>
          <w:szCs w:val="24"/>
        </w:rPr>
        <w:t>旋转。摆杆</w:t>
      </w:r>
      <w:r>
        <w:rPr>
          <w:rFonts w:asciiTheme="minorEastAsia" w:hAnsiTheme="minorEastAsia" w:eastAsiaTheme="minorEastAsia"/>
          <w:sz w:val="24"/>
          <w:szCs w:val="24"/>
        </w:rPr>
        <w:t xml:space="preserve">E </w:t>
      </w:r>
      <w:r>
        <w:rPr>
          <w:rFonts w:asciiTheme="minorEastAsia" w:hAnsiTheme="minorEastAsia" w:eastAsiaTheme="minorEastAsia"/>
          <w:spacing w:val="-9"/>
          <w:sz w:val="24"/>
          <w:szCs w:val="24"/>
        </w:rPr>
        <w:t xml:space="preserve">通过转 轴 </w:t>
      </w:r>
      <w:r>
        <w:rPr>
          <w:rFonts w:asciiTheme="minorEastAsia" w:hAnsiTheme="minorEastAsia" w:eastAsiaTheme="minorEastAsia"/>
          <w:sz w:val="24"/>
          <w:szCs w:val="24"/>
        </w:rPr>
        <w:t xml:space="preserve">D </w:t>
      </w:r>
      <w:r>
        <w:rPr>
          <w:rFonts w:asciiTheme="minorEastAsia" w:hAnsiTheme="minorEastAsia" w:eastAsiaTheme="minorEastAsia"/>
          <w:spacing w:val="-7"/>
          <w:sz w:val="24"/>
          <w:szCs w:val="24"/>
        </w:rPr>
        <w:t xml:space="preserve">固定在旋转臂 </w:t>
      </w:r>
      <w:r>
        <w:rPr>
          <w:rFonts w:asciiTheme="minorEastAsia" w:hAnsiTheme="minorEastAsia" w:eastAsiaTheme="minorEastAsia"/>
          <w:sz w:val="24"/>
          <w:szCs w:val="24"/>
        </w:rPr>
        <w:t xml:space="preserve">C 的一端， </w:t>
      </w:r>
      <w:r>
        <w:rPr>
          <w:rFonts w:asciiTheme="minorEastAsia" w:hAnsiTheme="minorEastAsia" w:eastAsiaTheme="minorEastAsia"/>
          <w:spacing w:val="-10"/>
          <w:sz w:val="24"/>
          <w:szCs w:val="24"/>
        </w:rPr>
        <w:t xml:space="preserve">当旋转臂 </w:t>
      </w:r>
      <w:r>
        <w:rPr>
          <w:rFonts w:asciiTheme="minorEastAsia" w:hAnsiTheme="minorEastAsia" w:eastAsiaTheme="minorEastAsia"/>
          <w:sz w:val="24"/>
          <w:szCs w:val="24"/>
        </w:rPr>
        <w:t xml:space="preserve">C </w:t>
      </w:r>
      <w:r>
        <w:rPr>
          <w:rFonts w:asciiTheme="minorEastAsia" w:hAnsiTheme="minorEastAsia" w:eastAsiaTheme="minorEastAsia"/>
          <w:spacing w:val="-9"/>
          <w:sz w:val="24"/>
          <w:szCs w:val="24"/>
        </w:rPr>
        <w:t xml:space="preserve">在电动机 </w:t>
      </w:r>
      <w:r>
        <w:rPr>
          <w:rFonts w:asciiTheme="minorEastAsia" w:hAnsiTheme="minorEastAsia" w:eastAsiaTheme="minorEastAsia"/>
          <w:sz w:val="24"/>
          <w:szCs w:val="24"/>
        </w:rPr>
        <w:t xml:space="preserve">A </w:t>
      </w:r>
      <w:r>
        <w:rPr>
          <w:rFonts w:asciiTheme="minorEastAsia" w:hAnsiTheme="minorEastAsia" w:eastAsiaTheme="minorEastAsia"/>
          <w:spacing w:val="-6"/>
          <w:sz w:val="24"/>
          <w:szCs w:val="24"/>
        </w:rPr>
        <w:t xml:space="preserve">驱动下作往复旋转运动时, 带动摆杆 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和摆杆H</w:t>
      </w:r>
      <w:r>
        <w:rPr>
          <w:rFonts w:asciiTheme="minorEastAsia" w:hAnsiTheme="minorEastAsia" w:eastAsiaTheme="minorEastAsia"/>
          <w:spacing w:val="-6"/>
          <w:sz w:val="24"/>
          <w:szCs w:val="24"/>
        </w:rPr>
        <w:t xml:space="preserve">在垂直于旋转臂 </w:t>
      </w:r>
      <w:r>
        <w:rPr>
          <w:rFonts w:asciiTheme="minorEastAsia" w:hAnsiTheme="minorEastAsia" w:eastAsiaTheme="minorEastAsia"/>
          <w:sz w:val="24"/>
          <w:szCs w:val="24"/>
        </w:rPr>
        <w:t xml:space="preserve">C </w:t>
      </w:r>
      <w:r>
        <w:rPr>
          <w:rFonts w:asciiTheme="minorEastAsia" w:hAnsiTheme="minorEastAsia" w:eastAsiaTheme="minorEastAsia"/>
          <w:spacing w:val="-2"/>
          <w:sz w:val="24"/>
          <w:szCs w:val="24"/>
        </w:rPr>
        <w:t>的平面作自由旋</w:t>
      </w:r>
      <w:r>
        <w:rPr>
          <w:rFonts w:asciiTheme="minorEastAsia" w:hAnsiTheme="minorEastAsia" w:eastAsiaTheme="minorEastAsia"/>
          <w:sz w:val="24"/>
          <w:szCs w:val="24"/>
        </w:rPr>
        <w:t>转。</w:t>
      </w:r>
    </w:p>
    <w:p>
      <w:pPr>
        <w:pStyle w:val="4"/>
        <w:spacing w:before="12"/>
        <w:rPr>
          <w:sz w:val="12"/>
        </w:rPr>
      </w:pPr>
      <w:r>
        <w:pict>
          <v:group id="_x0000_s1026" o:spid="_x0000_s1026" o:spt="203" style="position:absolute;left:0pt;margin-left:11.25pt;margin-top:8.15pt;height:149.95pt;width:384.4pt;mso-position-horizontal-relative:page;mso-wrap-distance-bottom:0pt;mso-wrap-distance-top:0pt;z-index:-251657216;mso-width-relative:page;mso-height-relative:page;" coordorigin="2208,205" coordsize="7688,2999">
            <o:lock v:ext="edit"/>
            <v:shape id="_x0000_s1032" o:spid="_x0000_s1032" o:spt="75" type="#_x0000_t75" style="position:absolute;left:2208;top:205;height:262;width:7688;" filled="f" o:preferrelative="t" stroked="f" coordsize="21600,21600">
              <v:path/>
              <v:fill on="f" focussize="0,0"/>
              <v:stroke on="f" joinstyle="miter"/>
              <v:imagedata r:id="rId4" o:title=""/>
              <o:lock v:ext="edit" aspectratio="t"/>
            </v:shape>
            <v:shape id="_x0000_s1031" o:spid="_x0000_s1031" o:spt="75" type="#_x0000_t75" style="position:absolute;left:5927;top:900;height:2304;width:3458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  <v:shape id="_x0000_s1030" o:spid="_x0000_s1030" o:spt="75" type="#_x0000_t75" style="position:absolute;left:8218;top:228;height:861;width:395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  <v:shape id="_x0000_s1029" o:spid="_x0000_s1029" style="position:absolute;left:8337;top:748;height:217;width:420;" fillcolor="#000000" filled="t" stroked="f" coordorigin="8338,749" coordsize="420,217" path="m8758,749l8541,749,8541,762,8536,757,8338,955,8348,965,8546,767,8543,764,8758,764,8758,749xe">
              <v:path arrowok="t"/>
              <v:fill on="t" focussize="0,0"/>
              <v:stroke on="f"/>
              <v:imagedata o:title=""/>
              <o:lock v:ext="edit"/>
            </v:shape>
            <v:shape id="_x0000_s1028" o:spid="_x0000_s1028" style="position:absolute;left:8457;top:372;height:209;width:209;" fillcolor="#000000" filled="t" stroked="f" coordorigin="8458,373" coordsize="209,209" path="m8468,581l8458,571,8656,373,8666,383,8468,581xe">
              <v:path arrowok="t"/>
              <v:fill on="t" focussize="0,0"/>
              <v:stroke on="f"/>
              <v:imagedata o:title=""/>
              <o:lock v:ext="edit"/>
            </v:shape>
            <v:shape id="_x0000_s1027" o:spid="_x0000_s1027" o:spt="202" type="#_x0000_t202" style="position:absolute;left:8637;top:274;height:607;width:105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62"/>
                      </w:tabs>
                      <w:spacing w:line="175" w:lineRule="exact"/>
                      <w:ind w:left="-1" w:right="18"/>
                      <w:jc w:val="center"/>
                      <w:rPr>
                        <w:sz w:val="15"/>
                      </w:rPr>
                    </w:pPr>
                    <w:r>
                      <w:rPr>
                        <w:rFonts w:ascii="Times New Roman" w:eastAsia="Times New Roman"/>
                        <w:w w:val="99"/>
                        <w:sz w:val="15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5"/>
                        <w:u w:val="single"/>
                      </w:rPr>
                      <w:tab/>
                    </w:r>
                    <w:r>
                      <w:rPr>
                        <w:rFonts w:ascii="Times New Roman" w:eastAsia="Times New Roman"/>
                        <w:sz w:val="15"/>
                      </w:rPr>
                      <w:t xml:space="preserve">   </w:t>
                    </w:r>
                    <w:r>
                      <w:rPr>
                        <w:rFonts w:ascii="Times New Roman" w:eastAsia="Times New Roman"/>
                        <w:spacing w:val="-18"/>
                        <w:sz w:val="15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15"/>
                      </w:rPr>
                      <w:t>H</w:t>
                    </w:r>
                    <w:r>
                      <w:rPr>
                        <w:rFonts w:ascii="Times New Roman" w:eastAsia="Times New Roman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pacing w:val="-8"/>
                        <w:sz w:val="15"/>
                      </w:rPr>
                      <w:t>摆杆</w:t>
                    </w:r>
                  </w:p>
                  <w:p>
                    <w:pPr>
                      <w:spacing w:before="5"/>
                      <w:rPr>
                        <w:sz w:val="19"/>
                      </w:rPr>
                    </w:pPr>
                  </w:p>
                  <w:p>
                    <w:pPr>
                      <w:spacing w:before="1" w:line="182" w:lineRule="exact"/>
                      <w:ind w:left="260" w:right="306"/>
                      <w:jc w:val="center"/>
                      <w:rPr>
                        <w:sz w:val="15"/>
                      </w:rPr>
                    </w:pPr>
                    <w:r>
                      <w:rPr>
                        <w:rFonts w:ascii="Times New Roman" w:eastAsia="Times New Roman"/>
                        <w:sz w:val="15"/>
                      </w:rPr>
                      <w:t xml:space="preserve">G </w:t>
                    </w:r>
                    <w:r>
                      <w:rPr>
                        <w:sz w:val="15"/>
                      </w:rPr>
                      <w:t>转轴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numPr>
          <w:ilvl w:val="0"/>
          <w:numId w:val="1"/>
        </w:numPr>
        <w:spacing w:line="400" w:lineRule="exact"/>
        <w:ind w:left="0" w:firstLine="0"/>
        <w:rPr>
          <w:b/>
          <w:sz w:val="28"/>
          <w:szCs w:val="28"/>
        </w:rPr>
      </w:pPr>
      <w:bookmarkStart w:id="4" w:name="二、要求"/>
      <w:bookmarkEnd w:id="4"/>
      <w:r>
        <w:rPr>
          <w:b/>
          <w:sz w:val="28"/>
          <w:szCs w:val="28"/>
        </w:rPr>
        <w:t>要求</w:t>
      </w:r>
    </w:p>
    <w:p>
      <w:pPr>
        <w:pStyle w:val="4"/>
        <w:spacing w:before="5"/>
        <w:rPr>
          <w:sz w:val="17"/>
        </w:rPr>
      </w:pPr>
    </w:p>
    <w:p>
      <w:pPr>
        <w:pStyle w:val="11"/>
        <w:tabs>
          <w:tab w:val="left" w:pos="1028"/>
        </w:tabs>
        <w:spacing w:line="400" w:lineRule="exact"/>
        <w:ind w:left="0" w:firstLine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1、</w:t>
      </w:r>
      <w:r>
        <w:rPr>
          <w:b/>
          <w:sz w:val="28"/>
          <w:szCs w:val="28"/>
        </w:rPr>
        <w:t>基本要求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（1）从摆杆处于自然下垂状态开始，尽快增大一阶摆杆</w:t>
      </w:r>
      <w:r>
        <w:rPr>
          <w:spacing w:val="-3"/>
          <w:sz w:val="24"/>
          <w:szCs w:val="24"/>
        </w:rPr>
        <w:t xml:space="preserve">的摆动幅度，直至完成圆周运动， </w:t>
      </w:r>
      <w:r>
        <w:rPr>
          <w:sz w:val="24"/>
          <w:szCs w:val="24"/>
        </w:rPr>
        <w:t>对二阶摆杆不做要求；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（2）在摆杆处于自然下垂状态下，外力拉起一阶摆杆至接近 165°位置，外力撤除同时，启动控制旋转使摆杆保持倒立状态时间不少于 5s；期间旋转臂的转</w:t>
      </w:r>
      <w:r>
        <w:rPr>
          <w:spacing w:val="-8"/>
          <w:sz w:val="24"/>
          <w:szCs w:val="24"/>
        </w:rPr>
        <w:t xml:space="preserve">动角度不大于 </w:t>
      </w:r>
      <w:r>
        <w:rPr>
          <w:sz w:val="24"/>
          <w:szCs w:val="24"/>
        </w:rPr>
        <w:t>180</w:t>
      </w:r>
      <w:r>
        <w:rPr>
          <w:spacing w:val="-8"/>
          <w:sz w:val="24"/>
          <w:szCs w:val="24"/>
        </w:rPr>
        <w:t>° ，对二阶摆杆不做要求；</w:t>
      </w:r>
    </w:p>
    <w:p>
      <w:pPr>
        <w:spacing w:line="400" w:lineRule="exact"/>
        <w:ind w:firstLine="456" w:firstLineChars="200"/>
        <w:rPr>
          <w:sz w:val="24"/>
          <w:szCs w:val="24"/>
        </w:rPr>
      </w:pPr>
      <w:r>
        <w:rPr>
          <w:w w:val="95"/>
          <w:sz w:val="24"/>
          <w:szCs w:val="24"/>
        </w:rPr>
        <w:t xml:space="preserve">（3）从摆杆处于自然下垂状态开始，控制旋转臂作往复旋转运动，尽快使一阶摆  </w:t>
      </w:r>
      <w:r>
        <w:rPr>
          <w:spacing w:val="-5"/>
          <w:sz w:val="24"/>
          <w:szCs w:val="24"/>
        </w:rPr>
        <w:t xml:space="preserve">杆摆起倒立，保持倒立状态时间不少于 </w:t>
      </w:r>
      <w:r>
        <w:rPr>
          <w:sz w:val="24"/>
          <w:szCs w:val="24"/>
        </w:rPr>
        <w:t>10s，对二阶摆杆状态不做要求；</w:t>
      </w:r>
    </w:p>
    <w:p>
      <w:pPr>
        <w:spacing w:line="400" w:lineRule="exact"/>
        <w:ind w:firstLine="456" w:firstLineChars="200"/>
        <w:rPr>
          <w:sz w:val="24"/>
          <w:szCs w:val="24"/>
        </w:rPr>
        <w:sectPr>
          <w:type w:val="continuous"/>
          <w:pgSz w:w="11900" w:h="16840"/>
          <w:pgMar w:top="1600" w:right="1260" w:bottom="280" w:left="1680" w:header="720" w:footer="720" w:gutter="0"/>
          <w:cols w:space="720" w:num="1"/>
        </w:sectPr>
      </w:pPr>
      <w:r>
        <w:rPr>
          <w:w w:val="95"/>
          <w:sz w:val="24"/>
          <w:szCs w:val="24"/>
        </w:rPr>
        <w:t xml:space="preserve">（4）在一阶摆杆保持倒立状态的前提下，旋转臀作圆周运动，并尽快使单方向转  </w:t>
      </w:r>
      <w:r>
        <w:rPr>
          <w:spacing w:val="-8"/>
          <w:sz w:val="24"/>
          <w:szCs w:val="24"/>
        </w:rPr>
        <w:t xml:space="preserve">过角度达到或超过 </w:t>
      </w:r>
      <w:r>
        <w:rPr>
          <w:sz w:val="24"/>
          <w:szCs w:val="24"/>
        </w:rPr>
        <w:t>360</w:t>
      </w:r>
      <w:r>
        <w:rPr>
          <w:spacing w:val="-4"/>
          <w:sz w:val="24"/>
          <w:szCs w:val="24"/>
        </w:rPr>
        <w:t>°，对二阶摆杆状态不做要求。</w:t>
      </w:r>
    </w:p>
    <w:p>
      <w:pPr>
        <w:pStyle w:val="4"/>
        <w:spacing w:before="12"/>
        <w:rPr>
          <w:sz w:val="16"/>
        </w:rPr>
      </w:pPr>
    </w:p>
    <w:p>
      <w:pPr>
        <w:spacing w:line="4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2、</w:t>
      </w:r>
      <w:r>
        <w:rPr>
          <w:b/>
          <w:sz w:val="28"/>
          <w:szCs w:val="28"/>
        </w:rPr>
        <w:t>发挥部分</w:t>
      </w:r>
    </w:p>
    <w:p>
      <w:pPr>
        <w:spacing w:line="400" w:lineRule="exact"/>
        <w:ind w:firstLine="444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pacing w:val="-9"/>
          <w:sz w:val="24"/>
          <w:szCs w:val="24"/>
        </w:rPr>
        <w:t xml:space="preserve">（1）在摆杆处于自然下垂状态下，外力拉起一、二阶摆杆至接近 </w:t>
      </w:r>
      <w:r>
        <w:rPr>
          <w:rFonts w:asciiTheme="minorEastAsia" w:hAnsiTheme="minorEastAsia" w:eastAsiaTheme="minorEastAsia"/>
          <w:sz w:val="24"/>
          <w:szCs w:val="24"/>
        </w:rPr>
        <w:t>180°倒立位置， 启动控制旋转同时撤去外力，使两阶摆杆保持倒立状态时间不少于 5s；期间</w:t>
      </w:r>
      <w:r>
        <w:rPr>
          <w:rFonts w:asciiTheme="minorEastAsia" w:hAnsiTheme="minorEastAsia" w:eastAsiaTheme="minorEastAsia"/>
          <w:spacing w:val="-5"/>
          <w:sz w:val="24"/>
          <w:szCs w:val="24"/>
        </w:rPr>
        <w:t xml:space="preserve">旋转臂的转动角度不大于 </w:t>
      </w:r>
      <w:r>
        <w:rPr>
          <w:rFonts w:asciiTheme="minorEastAsia" w:hAnsiTheme="minorEastAsia" w:eastAsiaTheme="minorEastAsia"/>
          <w:sz w:val="24"/>
          <w:szCs w:val="24"/>
        </w:rPr>
        <w:t>180</w:t>
      </w:r>
      <w:r>
        <w:rPr>
          <w:rFonts w:asciiTheme="minorEastAsia" w:hAnsiTheme="minorEastAsia" w:eastAsiaTheme="minorEastAsia"/>
          <w:spacing w:val="-16"/>
          <w:sz w:val="24"/>
          <w:szCs w:val="24"/>
        </w:rPr>
        <w:t>° ；</w:t>
      </w:r>
    </w:p>
    <w:p>
      <w:pPr>
        <w:spacing w:line="400" w:lineRule="exact"/>
        <w:ind w:firstLine="456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w w:val="95"/>
          <w:sz w:val="24"/>
          <w:szCs w:val="24"/>
        </w:rPr>
        <w:t xml:space="preserve">（2）从摆杆处于自然下垂状态开始，控制旋转臂作往复旋转运动，尽快使一、二  </w:t>
      </w:r>
      <w:r>
        <w:rPr>
          <w:rFonts w:asciiTheme="minorEastAsia" w:hAnsiTheme="minorEastAsia" w:eastAsiaTheme="minorEastAsia"/>
          <w:spacing w:val="-6"/>
          <w:sz w:val="24"/>
          <w:szCs w:val="24"/>
        </w:rPr>
        <w:t xml:space="preserve">阶摆臂摆起倒立，保持倒立状态时间不少于 </w:t>
      </w:r>
      <w:r>
        <w:rPr>
          <w:rFonts w:asciiTheme="minorEastAsia" w:hAnsiTheme="minorEastAsia" w:eastAsiaTheme="minorEastAsia"/>
          <w:sz w:val="24"/>
          <w:szCs w:val="24"/>
        </w:rPr>
        <w:t>10s；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（3）其它。</w:t>
      </w:r>
    </w:p>
    <w:p>
      <w:pPr>
        <w:pStyle w:val="4"/>
        <w:spacing w:before="179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>
        <w:rPr>
          <w:b/>
          <w:sz w:val="28"/>
          <w:szCs w:val="28"/>
        </w:rPr>
        <w:t>、说明</w:t>
      </w:r>
    </w:p>
    <w:p>
      <w:pPr>
        <w:pStyle w:val="4"/>
        <w:spacing w:before="11"/>
        <w:rPr>
          <w:sz w:val="14"/>
        </w:rPr>
      </w:pPr>
    </w:p>
    <w:p>
      <w:pPr>
        <w:spacing w:line="400" w:lineRule="exact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pacing w:val="-5"/>
          <w:sz w:val="24"/>
          <w:szCs w:val="24"/>
        </w:rPr>
        <w:t xml:space="preserve">1、旋转倒立摆机械部分必须自制，结构要求如下：硬质摆杆 </w:t>
      </w:r>
      <w:r>
        <w:rPr>
          <w:rFonts w:asciiTheme="minorEastAsia" w:hAnsiTheme="minorEastAsia" w:eastAsiaTheme="minorEastAsia"/>
          <w:sz w:val="24"/>
          <w:szCs w:val="24"/>
        </w:rPr>
        <w:t>H</w:t>
      </w:r>
      <w:r>
        <w:rPr>
          <w:rFonts w:asciiTheme="minorEastAsia" w:hAnsiTheme="minorEastAsia" w:eastAsiaTheme="minorEastAsia"/>
          <w:spacing w:val="-10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10"/>
          <w:sz w:val="24"/>
          <w:szCs w:val="24"/>
        </w:rPr>
        <w:t>通过转轴</w:t>
      </w:r>
      <w:r>
        <w:rPr>
          <w:rFonts w:asciiTheme="minorEastAsia" w:hAnsiTheme="minorEastAsia" w:eastAsiaTheme="minorEastAsia"/>
          <w:sz w:val="24"/>
          <w:szCs w:val="24"/>
        </w:rPr>
        <w:t>G</w:t>
      </w:r>
      <w:r>
        <w:rPr>
          <w:rFonts w:asciiTheme="minorEastAsia" w:hAnsiTheme="minorEastAsia" w:eastAsiaTheme="minorEastAsia"/>
          <w:spacing w:val="-7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6"/>
          <w:sz w:val="24"/>
          <w:szCs w:val="24"/>
        </w:rPr>
        <w:t>连接在硬质摆杆</w:t>
      </w:r>
      <w:r>
        <w:rPr>
          <w:rFonts w:asciiTheme="minorEastAsia" w:hAnsiTheme="minorEastAsia" w:eastAsiaTheme="minorEastAsia"/>
          <w:sz w:val="24"/>
          <w:szCs w:val="24"/>
        </w:rPr>
        <w:t xml:space="preserve">E </w:t>
      </w:r>
      <w:r>
        <w:rPr>
          <w:rFonts w:asciiTheme="minorEastAsia" w:hAnsiTheme="minorEastAsia" w:eastAsiaTheme="minorEastAsia"/>
          <w:spacing w:val="17"/>
          <w:sz w:val="24"/>
          <w:szCs w:val="24"/>
        </w:rPr>
        <w:t>的一端，</w:t>
      </w:r>
      <w:r>
        <w:rPr>
          <w:rFonts w:asciiTheme="minorEastAsia" w:hAnsiTheme="minorEastAsia" w:eastAsiaTheme="minorEastAsia"/>
          <w:spacing w:val="2"/>
          <w:sz w:val="24"/>
          <w:szCs w:val="24"/>
        </w:rPr>
        <w:t xml:space="preserve">硬质摆杆 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asciiTheme="minorEastAsia" w:hAnsiTheme="minorEastAsia" w:eastAsiaTheme="minorEastAsia"/>
          <w:spacing w:val="5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2"/>
          <w:sz w:val="24"/>
          <w:szCs w:val="24"/>
        </w:rPr>
        <w:t xml:space="preserve">通过转轴 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asciiTheme="minorEastAsia" w:hAnsiTheme="minorEastAsia" w:eastAsiaTheme="minorEastAsia"/>
          <w:spacing w:val="4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5"/>
          <w:sz w:val="24"/>
          <w:szCs w:val="24"/>
        </w:rPr>
        <w:t xml:space="preserve">连接在旋转臂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asciiTheme="minorEastAsia" w:hAnsiTheme="minorEastAsia" w:eastAsiaTheme="minorEastAsia"/>
          <w:spacing w:val="3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-3"/>
          <w:sz w:val="24"/>
          <w:szCs w:val="24"/>
        </w:rPr>
        <w:t xml:space="preserve">边缘， 且距旋转臂 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asciiTheme="minorEastAsia" w:hAnsiTheme="minorEastAsia" w:eastAsiaTheme="minorEastAsia"/>
          <w:spacing w:val="5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11"/>
          <w:sz w:val="24"/>
          <w:szCs w:val="24"/>
        </w:rPr>
        <w:t>轴心距离为20cm±5cm；</w:t>
      </w:r>
      <w:r>
        <w:rPr>
          <w:rFonts w:asciiTheme="minorEastAsia" w:hAnsiTheme="minorEastAsia" w:eastAsiaTheme="minorEastAsia"/>
          <w:sz w:val="24"/>
          <w:szCs w:val="24"/>
        </w:rPr>
        <w:t>摆杆的横截面为圆形或正方形，直径或边长不超过 1cm,</w:t>
      </w:r>
      <w:r>
        <w:rPr>
          <w:rFonts w:asciiTheme="minorEastAsia" w:hAnsiTheme="minorEastAsia" w:eastAsiaTheme="minorEastAsia"/>
          <w:spacing w:val="-8"/>
          <w:sz w:val="24"/>
          <w:szCs w:val="24"/>
        </w:rPr>
        <w:t xml:space="preserve">长度在 </w:t>
      </w:r>
      <w:r>
        <w:rPr>
          <w:rFonts w:asciiTheme="minorEastAsia" w:hAnsiTheme="minorEastAsia" w:eastAsiaTheme="minorEastAsia"/>
          <w:sz w:val="24"/>
          <w:szCs w:val="24"/>
        </w:rPr>
        <w:t>15cm±5cm 范围内；允许使用传感器检测摆杆的状态，但不得影响摆杆的转动灵活性；图 1</w:t>
      </w:r>
      <w:r>
        <w:rPr>
          <w:rFonts w:asciiTheme="minorEastAsia" w:hAnsiTheme="minorEastAsia" w:eastAsiaTheme="minorEastAsia"/>
          <w:spacing w:val="-11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-1"/>
          <w:sz w:val="24"/>
          <w:szCs w:val="24"/>
        </w:rPr>
        <w:t>中支 架</w:t>
      </w:r>
      <w:r>
        <w:rPr>
          <w:rFonts w:asciiTheme="minorEastAsia" w:hAnsiTheme="minorEastAsia" w:eastAsiaTheme="minorEastAsia"/>
          <w:sz w:val="24"/>
          <w:szCs w:val="24"/>
        </w:rPr>
        <w:t>B 的形状仅作参考，其余未作规定的可自行设计结构；电动机自行选型。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2、在完成基础部分时可将二阶摆杆拆卸，在进行发挥部分时再安装。</w:t>
      </w:r>
    </w:p>
    <w:p>
      <w:pPr>
        <w:spacing w:line="400" w:lineRule="exact"/>
        <w:ind w:firstLine="468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pacing w:val="-3"/>
          <w:sz w:val="24"/>
          <w:szCs w:val="24"/>
        </w:rPr>
        <w:t>3、摆杆要能够在垂直平面灵活旋转，检验方法如下：将</w:t>
      </w:r>
      <w:r>
        <w:rPr>
          <w:rFonts w:asciiTheme="minorEastAsia" w:hAnsiTheme="minorEastAsia" w:eastAsiaTheme="minorEastAsia"/>
          <w:sz w:val="24"/>
          <w:szCs w:val="24"/>
        </w:rPr>
        <w:t>摆杆拉起至水平位置 后松开，摆杆至少能够自由摆</w:t>
      </w:r>
      <w:r>
        <w:rPr>
          <w:rFonts w:asciiTheme="minorEastAsia" w:hAnsiTheme="minorEastAsia" w:eastAsiaTheme="minorEastAsia"/>
          <w:spacing w:val="-23"/>
          <w:sz w:val="24"/>
          <w:szCs w:val="24"/>
        </w:rPr>
        <w:t xml:space="preserve">动 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pacing w:val="-11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个来回。需分别检查两阶摆杆。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4848225</wp:posOffset>
            </wp:positionH>
            <wp:positionV relativeFrom="paragraph">
              <wp:posOffset>60960</wp:posOffset>
            </wp:positionV>
            <wp:extent cx="2203450" cy="2160905"/>
            <wp:effectExtent l="0" t="0" r="0" b="0"/>
            <wp:wrapNone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345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pacing w:val="-10"/>
          <w:sz w:val="24"/>
          <w:szCs w:val="24"/>
        </w:rPr>
        <w:t xml:space="preserve">4、除电动机 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asciiTheme="minorEastAsia" w:hAnsiTheme="minorEastAsia" w:eastAsiaTheme="minorEastAsia"/>
          <w:spacing w:val="-9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pacing w:val="-2"/>
          <w:sz w:val="24"/>
          <w:szCs w:val="24"/>
        </w:rPr>
        <w:t>之外，装置中不得有</w:t>
      </w:r>
      <w:r>
        <w:rPr>
          <w:rFonts w:asciiTheme="minorEastAsia" w:hAnsiTheme="minorEastAsia" w:eastAsiaTheme="minorEastAsia"/>
          <w:sz w:val="24"/>
          <w:szCs w:val="24"/>
        </w:rPr>
        <w:t>其他动力部件。</w:t>
      </w:r>
    </w:p>
    <w:p>
      <w:pPr>
        <w:spacing w:line="400" w:lineRule="exact"/>
        <w:ind w:firstLine="480" w:firstLineChars="200"/>
      </w:pPr>
      <w:r>
        <w:rPr>
          <w:rFonts w:asciiTheme="minorEastAsia" w:hAnsiTheme="minorEastAsia" w:eastAsiaTheme="minorEastAsia"/>
          <w:sz w:val="24"/>
          <w:szCs w:val="24"/>
        </w:rPr>
        <w:t>5、摆杆自然下垂状态是指摆角为0°位置见图2</w:t>
      </w:r>
      <w:r>
        <w:t>。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6、摆杆倒立状态是指摆杆在</w:t>
      </w:r>
      <w:r>
        <w:rPr>
          <w:rFonts w:asciiTheme="minorEastAsia" w:hAnsiTheme="minorEastAsia" w:eastAsiaTheme="minorEastAsia"/>
          <w:spacing w:val="-4"/>
          <w:sz w:val="24"/>
          <w:szCs w:val="24"/>
        </w:rPr>
        <w:t>-165°</w:t>
      </w:r>
      <w:r>
        <w:rPr>
          <w:rFonts w:asciiTheme="minorEastAsia" w:hAnsiTheme="minorEastAsia" w:eastAsiaTheme="minorEastAsia"/>
          <w:spacing w:val="-23"/>
          <w:sz w:val="24"/>
          <w:szCs w:val="24"/>
        </w:rPr>
        <w:t xml:space="preserve">至 </w:t>
      </w:r>
      <w:r>
        <w:rPr>
          <w:rFonts w:asciiTheme="minorEastAsia" w:hAnsiTheme="minorEastAsia" w:eastAsiaTheme="minorEastAsia"/>
          <w:sz w:val="24"/>
          <w:szCs w:val="24"/>
        </w:rPr>
        <w:t>165°范围内。</w:t>
      </w:r>
    </w:p>
    <w:p>
      <w:pPr>
        <w:spacing w:line="400" w:lineRule="exact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7、基本要求（1）</w:t>
      </w:r>
      <w:r>
        <w:rPr>
          <w:rFonts w:asciiTheme="minorEastAsia" w:hAnsiTheme="minorEastAsia" w:eastAsiaTheme="minorEastAsia"/>
          <w:spacing w:val="-9"/>
          <w:sz w:val="24"/>
          <w:szCs w:val="24"/>
        </w:rPr>
        <w:t xml:space="preserve">中，超过 </w:t>
      </w:r>
      <w:r>
        <w:rPr>
          <w:rFonts w:asciiTheme="minorEastAsia" w:hAnsiTheme="minorEastAsia" w:eastAsiaTheme="minorEastAsia"/>
          <w:sz w:val="24"/>
          <w:szCs w:val="24"/>
        </w:rPr>
        <w:t>30s</w:t>
      </w:r>
    </w:p>
    <w:p>
      <w:pPr>
        <w:rPr>
          <w:rFonts w:asciiTheme="minorEastAsia" w:hAnsiTheme="minorEastAsia" w:eastAsiaTheme="minorEastAsia"/>
          <w:sz w:val="24"/>
          <w:szCs w:val="24"/>
        </w:rPr>
        <w:sectPr>
          <w:pgSz w:w="11900" w:h="16840"/>
          <w:pgMar w:top="1600" w:right="1260" w:bottom="280" w:left="1680" w:header="720" w:footer="720" w:gutter="0"/>
          <w:cols w:space="720" w:num="1"/>
        </w:sectPr>
      </w:pPr>
    </w:p>
    <w:p>
      <w:pPr>
        <w:spacing w:line="40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视为失败；完成时间越短越好。</w:t>
      </w:r>
    </w:p>
    <w:p>
      <w:pPr>
        <w:spacing w:line="400" w:lineRule="exact"/>
        <w:ind w:firstLine="46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pacing w:val="-5"/>
          <w:sz w:val="24"/>
          <w:szCs w:val="24"/>
        </w:rPr>
        <w:t xml:space="preserve">8、测试时，将在摆杆后 </w:t>
      </w:r>
      <w:r>
        <w:rPr>
          <w:rFonts w:asciiTheme="minorEastAsia" w:hAnsiTheme="minorEastAsia" w:eastAsiaTheme="minorEastAsia"/>
          <w:sz w:val="24"/>
          <w:szCs w:val="24"/>
        </w:rPr>
        <w:t>l~2cm 处固定一轻质量角器，以方便观察摆杆的旋转角度。（量角器自备）</w:t>
      </w:r>
    </w:p>
    <w:p>
      <w:pPr>
        <w:pStyle w:val="4"/>
        <w:spacing w:line="229" w:lineRule="exact"/>
        <w:ind w:left="828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br w:type="column"/>
      </w:r>
    </w:p>
    <w:p>
      <w:pPr>
        <w:pStyle w:val="4"/>
        <w:spacing w:line="229" w:lineRule="exact"/>
        <w:ind w:left="828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4"/>
        <w:spacing w:line="229" w:lineRule="exact"/>
        <w:ind w:left="828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4"/>
        <w:spacing w:line="229" w:lineRule="exact"/>
        <w:ind w:left="828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4"/>
        <w:spacing w:line="229" w:lineRule="exact"/>
        <w:ind w:left="828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4"/>
        <w:spacing w:line="229" w:lineRule="exact"/>
        <w:ind w:left="828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pStyle w:val="4"/>
        <w:spacing w:line="229" w:lineRule="exact"/>
        <w:ind w:left="828"/>
        <w:rPr>
          <w:rFonts w:hint="eastAsia"/>
        </w:rPr>
      </w:pPr>
    </w:p>
    <w:p>
      <w:pPr>
        <w:pStyle w:val="4"/>
        <w:spacing w:line="229" w:lineRule="exact"/>
        <w:ind w:left="828"/>
        <w:rPr>
          <w:rFonts w:hint="eastAsia"/>
        </w:rPr>
      </w:pPr>
    </w:p>
    <w:p>
      <w:pPr>
        <w:pStyle w:val="4"/>
        <w:spacing w:line="229" w:lineRule="exact"/>
        <w:rPr>
          <w:rFonts w:hint="eastAsia"/>
        </w:rPr>
      </w:pPr>
    </w:p>
    <w:p>
      <w:pPr>
        <w:pStyle w:val="4"/>
        <w:spacing w:line="229" w:lineRule="exact"/>
        <w:ind w:firstLine="1260" w:firstLineChars="700"/>
        <w:sectPr>
          <w:type w:val="continuous"/>
          <w:pgSz w:w="11900" w:h="16840"/>
          <w:pgMar w:top="1600" w:right="1260" w:bottom="280" w:left="1680" w:header="720" w:footer="720" w:gutter="0"/>
          <w:cols w:equalWidth="0" w:num="2">
            <w:col w:w="5148" w:space="413"/>
            <w:col w:w="3399"/>
          </w:cols>
        </w:sectPr>
      </w:pPr>
      <w:r>
        <w:t>图</w:t>
      </w:r>
      <w:r>
        <w:rPr>
          <w:rFonts w:ascii="Times New Roman" w:eastAsia="Times New Roman"/>
          <w:sz w:val="20"/>
        </w:rPr>
        <w:t>2</w:t>
      </w:r>
      <w:r>
        <w:t>.摆杆位置示意图</w:t>
      </w:r>
    </w:p>
    <w:p>
      <w:pPr>
        <w:pStyle w:val="2"/>
        <w:ind w:left="0"/>
        <w:rPr>
          <w:b/>
          <w:sz w:val="28"/>
          <w:szCs w:val="28"/>
        </w:rPr>
      </w:pPr>
      <w:bookmarkStart w:id="5" w:name="四、评分标准"/>
      <w:bookmarkEnd w:id="5"/>
      <w:r>
        <w:rPr>
          <w:b/>
          <w:sz w:val="28"/>
          <w:szCs w:val="28"/>
        </w:rPr>
        <w:t>四、评分标准</w:t>
      </w:r>
    </w:p>
    <w:p>
      <w:pPr>
        <w:pStyle w:val="4"/>
        <w:spacing w:before="12"/>
        <w:rPr>
          <w:sz w:val="7"/>
        </w:rPr>
      </w:pPr>
    </w:p>
    <w:tbl>
      <w:tblPr>
        <w:tblStyle w:val="10"/>
        <w:tblW w:w="0" w:type="auto"/>
        <w:tblInd w:w="7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736"/>
        <w:gridCol w:w="3021"/>
        <w:gridCol w:w="1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144" w:type="dxa"/>
            <w:vMerge w:val="restart"/>
          </w:tcPr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spacing w:before="2"/>
            </w:pPr>
          </w:p>
          <w:p>
            <w:pPr>
              <w:pStyle w:val="12"/>
              <w:spacing w:line="348" w:lineRule="auto"/>
              <w:ind w:left="392" w:right="379"/>
              <w:jc w:val="center"/>
              <w:rPr>
                <w:sz w:val="18"/>
              </w:rPr>
            </w:pPr>
            <w:r>
              <w:rPr>
                <w:sz w:val="18"/>
              </w:rPr>
              <w:t>设计报告</w:t>
            </w:r>
          </w:p>
        </w:tc>
        <w:tc>
          <w:tcPr>
            <w:tcW w:w="1736" w:type="dxa"/>
          </w:tcPr>
          <w:p>
            <w:pPr>
              <w:pStyle w:val="12"/>
              <w:spacing w:before="2"/>
              <w:rPr>
                <w:sz w:val="13"/>
              </w:rPr>
            </w:pPr>
          </w:p>
          <w:p>
            <w:pPr>
              <w:pStyle w:val="12"/>
              <w:spacing w:line="212" w:lineRule="exact"/>
              <w:ind w:left="529"/>
              <w:rPr>
                <w:sz w:val="18"/>
              </w:rPr>
            </w:pPr>
            <w:r>
              <w:rPr>
                <w:sz w:val="18"/>
              </w:rPr>
              <w:t>项目</w:t>
            </w:r>
          </w:p>
        </w:tc>
        <w:tc>
          <w:tcPr>
            <w:tcW w:w="3021" w:type="dxa"/>
          </w:tcPr>
          <w:p>
            <w:pPr>
              <w:pStyle w:val="12"/>
              <w:spacing w:before="2"/>
              <w:rPr>
                <w:sz w:val="13"/>
              </w:rPr>
            </w:pPr>
          </w:p>
          <w:p>
            <w:pPr>
              <w:pStyle w:val="12"/>
              <w:spacing w:line="212" w:lineRule="exact"/>
              <w:ind w:left="1130" w:right="1120"/>
              <w:jc w:val="center"/>
              <w:rPr>
                <w:sz w:val="18"/>
              </w:rPr>
            </w:pPr>
            <w:r>
              <w:rPr>
                <w:sz w:val="18"/>
              </w:rPr>
              <w:t>主要内容</w:t>
            </w:r>
          </w:p>
        </w:tc>
        <w:tc>
          <w:tcPr>
            <w:tcW w:w="1440" w:type="dxa"/>
          </w:tcPr>
          <w:p>
            <w:pPr>
              <w:pStyle w:val="12"/>
              <w:spacing w:before="2"/>
              <w:rPr>
                <w:sz w:val="13"/>
              </w:rPr>
            </w:pPr>
          </w:p>
          <w:p>
            <w:pPr>
              <w:pStyle w:val="12"/>
              <w:spacing w:line="212" w:lineRule="exact"/>
              <w:ind w:left="519" w:right="511"/>
              <w:jc w:val="center"/>
              <w:rPr>
                <w:sz w:val="18"/>
              </w:rPr>
            </w:pPr>
            <w:r>
              <w:rPr>
                <w:sz w:val="18"/>
              </w:rPr>
              <w:t>分数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12"/>
              <w:jc w:val="both"/>
              <w:rPr>
                <w:sz w:val="18"/>
              </w:rPr>
            </w:pPr>
            <w:r>
              <w:rPr>
                <w:sz w:val="18"/>
              </w:rPr>
              <w:t>系统方案</w:t>
            </w:r>
          </w:p>
        </w:tc>
        <w:tc>
          <w:tcPr>
            <w:tcW w:w="3021" w:type="dxa"/>
            <w:vAlign w:val="center"/>
          </w:tcPr>
          <w:p>
            <w:pPr>
              <w:pStyle w:val="12"/>
              <w:rPr>
                <w:sz w:val="18"/>
              </w:rPr>
            </w:pPr>
            <w:r>
              <w:rPr>
                <w:sz w:val="18"/>
              </w:rPr>
              <w:t>系统结构、方案比较与选择</w:t>
            </w:r>
          </w:p>
        </w:tc>
        <w:tc>
          <w:tcPr>
            <w:tcW w:w="1440" w:type="dxa"/>
          </w:tcPr>
          <w:p>
            <w:pPr>
              <w:pStyle w:val="12"/>
              <w:spacing w:before="159" w:line="210" w:lineRule="exact"/>
              <w:ind w:left="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12"/>
              <w:ind w:left="6"/>
              <w:jc w:val="both"/>
              <w:rPr>
                <w:sz w:val="18"/>
              </w:rPr>
            </w:pPr>
            <w:r>
              <w:rPr>
                <w:sz w:val="18"/>
              </w:rPr>
              <w:t>理论分析与计算</w:t>
            </w:r>
          </w:p>
        </w:tc>
        <w:tc>
          <w:tcPr>
            <w:tcW w:w="3021" w:type="dxa"/>
            <w:vAlign w:val="center"/>
          </w:tcPr>
          <w:p>
            <w:pPr>
              <w:pStyle w:val="12"/>
              <w:jc w:val="both"/>
              <w:rPr>
                <w:sz w:val="18"/>
              </w:rPr>
            </w:pPr>
            <w:r>
              <w:rPr>
                <w:sz w:val="18"/>
              </w:rPr>
              <w:t>电动机选型、摆杆状态检测， 駆动与</w:t>
            </w:r>
          </w:p>
          <w:p>
            <w:pPr>
              <w:pStyle w:val="12"/>
              <w:spacing w:line="218" w:lineRule="exact"/>
              <w:jc w:val="both"/>
              <w:rPr>
                <w:sz w:val="18"/>
              </w:rPr>
            </w:pPr>
            <w:r>
              <w:rPr>
                <w:sz w:val="18"/>
              </w:rPr>
              <w:t>控制算法</w:t>
            </w:r>
          </w:p>
        </w:tc>
        <w:tc>
          <w:tcPr>
            <w:tcW w:w="1440" w:type="dxa"/>
          </w:tcPr>
          <w:p>
            <w:pPr>
              <w:pStyle w:val="12"/>
              <w:spacing w:before="10"/>
              <w:rPr>
                <w:sz w:val="17"/>
              </w:rPr>
            </w:pPr>
          </w:p>
          <w:p>
            <w:pPr>
              <w:pStyle w:val="12"/>
              <w:ind w:left="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12"/>
              <w:jc w:val="both"/>
              <w:rPr>
                <w:sz w:val="18"/>
              </w:rPr>
            </w:pPr>
            <w:r>
              <w:rPr>
                <w:sz w:val="18"/>
              </w:rPr>
              <w:t>电路与程序设计</w:t>
            </w:r>
          </w:p>
        </w:tc>
        <w:tc>
          <w:tcPr>
            <w:tcW w:w="3021" w:type="dxa"/>
            <w:vAlign w:val="center"/>
          </w:tcPr>
          <w:p>
            <w:pPr>
              <w:pStyle w:val="12"/>
              <w:spacing w:line="230" w:lineRule="exact"/>
              <w:jc w:val="both"/>
              <w:rPr>
                <w:sz w:val="18"/>
              </w:rPr>
            </w:pPr>
            <w:r>
              <w:rPr>
                <w:sz w:val="18"/>
              </w:rPr>
              <w:t>电路设计 程序结构与设计</w:t>
            </w:r>
          </w:p>
        </w:tc>
        <w:tc>
          <w:tcPr>
            <w:tcW w:w="1440" w:type="dxa"/>
          </w:tcPr>
          <w:p>
            <w:pPr>
              <w:pStyle w:val="12"/>
              <w:spacing w:before="8"/>
              <w:rPr>
                <w:sz w:val="18"/>
              </w:rPr>
            </w:pPr>
          </w:p>
          <w:p>
            <w:pPr>
              <w:pStyle w:val="12"/>
              <w:spacing w:before="1"/>
              <w:ind w:left="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12"/>
              <w:spacing w:line="228" w:lineRule="exact"/>
              <w:jc w:val="both"/>
              <w:rPr>
                <w:sz w:val="18"/>
              </w:rPr>
            </w:pPr>
            <w:r>
              <w:rPr>
                <w:sz w:val="18"/>
              </w:rPr>
              <w:t>测试方案与测试结果</w:t>
            </w:r>
          </w:p>
        </w:tc>
        <w:tc>
          <w:tcPr>
            <w:tcW w:w="3021" w:type="dxa"/>
            <w:vAlign w:val="center"/>
          </w:tcPr>
          <w:p>
            <w:pPr>
              <w:pStyle w:val="12"/>
              <w:ind w:left="11"/>
              <w:jc w:val="both"/>
              <w:rPr>
                <w:sz w:val="18"/>
              </w:rPr>
            </w:pPr>
            <w:r>
              <w:rPr>
                <w:sz w:val="18"/>
              </w:rPr>
              <w:t>测试结果及分析</w:t>
            </w:r>
          </w:p>
        </w:tc>
        <w:tc>
          <w:tcPr>
            <w:tcW w:w="1440" w:type="dxa"/>
          </w:tcPr>
          <w:p>
            <w:pPr>
              <w:pStyle w:val="12"/>
              <w:spacing w:before="9"/>
              <w:rPr>
                <w:sz w:val="17"/>
              </w:rPr>
            </w:pPr>
          </w:p>
          <w:p>
            <w:pPr>
              <w:pStyle w:val="12"/>
              <w:ind w:left="7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12"/>
              <w:jc w:val="both"/>
              <w:rPr>
                <w:sz w:val="18"/>
              </w:rPr>
            </w:pPr>
            <w:r>
              <w:rPr>
                <w:sz w:val="18"/>
              </w:rPr>
              <w:t>设计报告结构及规范性</w:t>
            </w:r>
          </w:p>
        </w:tc>
        <w:tc>
          <w:tcPr>
            <w:tcW w:w="3021" w:type="dxa"/>
            <w:vAlign w:val="center"/>
          </w:tcPr>
          <w:p>
            <w:pPr>
              <w:pStyle w:val="12"/>
              <w:jc w:val="both"/>
              <w:rPr>
                <w:sz w:val="18"/>
              </w:rPr>
            </w:pPr>
            <w:r>
              <w:rPr>
                <w:sz w:val="18"/>
              </w:rPr>
              <w:t>摘要</w:t>
            </w:r>
            <w:r>
              <w:rPr>
                <w:rFonts w:hint="eastAsia"/>
                <w:sz w:val="18"/>
              </w:rPr>
              <w:t>及</w:t>
            </w:r>
            <w:r>
              <w:rPr>
                <w:spacing w:val="-2"/>
                <w:sz w:val="18"/>
              </w:rPr>
              <w:t>设计报告正文的结构、公式、图表的规</w:t>
            </w:r>
            <w:r>
              <w:rPr>
                <w:sz w:val="18"/>
              </w:rPr>
              <w:t>范性</w:t>
            </w:r>
          </w:p>
        </w:tc>
        <w:tc>
          <w:tcPr>
            <w:tcW w:w="1440" w:type="dxa"/>
          </w:tcPr>
          <w:p>
            <w:pPr>
              <w:pStyle w:val="12"/>
              <w:spacing w:before="9"/>
              <w:rPr>
                <w:sz w:val="31"/>
              </w:rPr>
            </w:pPr>
          </w:p>
          <w:p>
            <w:pPr>
              <w:pStyle w:val="12"/>
              <w:spacing w:before="1"/>
              <w:ind w:right="11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9"/>
                <w:sz w:val="20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56" w:line="212" w:lineRule="exact"/>
              <w:ind w:left="8"/>
              <w:rPr>
                <w:sz w:val="18"/>
              </w:rPr>
            </w:pPr>
            <w:r>
              <w:rPr>
                <w:sz w:val="18"/>
              </w:rPr>
              <w:t>总分</w:t>
            </w:r>
          </w:p>
        </w:tc>
        <w:tc>
          <w:tcPr>
            <w:tcW w:w="1440" w:type="dxa"/>
          </w:tcPr>
          <w:p>
            <w:pPr>
              <w:pStyle w:val="12"/>
              <w:spacing w:before="159" w:line="210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144" w:type="dxa"/>
            <w:vMerge w:val="restart"/>
          </w:tcPr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spacing w:before="3"/>
            </w:pPr>
          </w:p>
          <w:p>
            <w:pPr>
              <w:pStyle w:val="12"/>
              <w:ind w:left="212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31" w:line="238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59" w:line="210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42" w:line="238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2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70" w:line="211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66" w:line="237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3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93" w:line="209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43" w:line="239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4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73" w:line="209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"/>
              <w:rPr>
                <w:sz w:val="14"/>
              </w:rPr>
            </w:pPr>
          </w:p>
          <w:p>
            <w:pPr>
              <w:pStyle w:val="12"/>
              <w:spacing w:line="213" w:lineRule="exact"/>
              <w:ind w:left="8"/>
              <w:rPr>
                <w:sz w:val="18"/>
              </w:rPr>
            </w:pPr>
            <w:r>
              <w:rPr>
                <w:sz w:val="18"/>
              </w:rPr>
              <w:t>总分</w:t>
            </w:r>
          </w:p>
        </w:tc>
        <w:tc>
          <w:tcPr>
            <w:tcW w:w="1440" w:type="dxa"/>
          </w:tcPr>
          <w:p>
            <w:pPr>
              <w:pStyle w:val="12"/>
              <w:spacing w:before="184" w:line="210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144" w:type="dxa"/>
            <w:vMerge w:val="restart"/>
          </w:tcPr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rPr>
                <w:sz w:val="18"/>
              </w:rPr>
            </w:pPr>
          </w:p>
          <w:p>
            <w:pPr>
              <w:pStyle w:val="12"/>
              <w:spacing w:before="11"/>
              <w:rPr>
                <w:sz w:val="20"/>
              </w:rPr>
            </w:pPr>
          </w:p>
          <w:p>
            <w:pPr>
              <w:pStyle w:val="12"/>
              <w:ind w:left="212"/>
              <w:rPr>
                <w:sz w:val="18"/>
              </w:rPr>
            </w:pPr>
            <w:r>
              <w:rPr>
                <w:sz w:val="18"/>
              </w:rPr>
              <w:t>发挥部分</w:t>
            </w: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42" w:line="238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1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70" w:line="211" w:lineRule="exact"/>
              <w:ind w:left="519" w:right="510"/>
              <w:jc w:val="center"/>
              <w:rPr>
                <w:rFonts w:hint="eastAsia" w:ascii="Times New Roman" w:eastAsia="宋体"/>
                <w:sz w:val="20"/>
                <w:lang w:eastAsia="zh-CN"/>
              </w:rPr>
            </w:pPr>
            <w:r>
              <w:rPr>
                <w:rFonts w:ascii="Times New Roman"/>
                <w:sz w:val="20"/>
              </w:rPr>
              <w:t>2</w:t>
            </w:r>
            <w:r>
              <w:rPr>
                <w:rFonts w:hint="eastAsia" w:ascii="Times New Roman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30" w:line="239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2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60" w:line="209" w:lineRule="exact"/>
              <w:ind w:left="501" w:right="511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32" w:line="237" w:lineRule="exact"/>
              <w:ind w:left="8"/>
              <w:rPr>
                <w:sz w:val="20"/>
              </w:rPr>
            </w:pPr>
            <w:r>
              <w:rPr>
                <w:sz w:val="18"/>
              </w:rPr>
              <w:t>完成</w:t>
            </w:r>
            <w:r>
              <w:rPr>
                <w:sz w:val="20"/>
              </w:rPr>
              <w:t>（</w:t>
            </w:r>
            <w:r>
              <w:rPr>
                <w:rFonts w:ascii="Times New Roman" w:eastAsia="Times New Roman"/>
                <w:sz w:val="20"/>
              </w:rPr>
              <w:t>3</w:t>
            </w:r>
            <w:r>
              <w:rPr>
                <w:sz w:val="20"/>
              </w:rPr>
              <w:t>）</w:t>
            </w:r>
          </w:p>
        </w:tc>
        <w:tc>
          <w:tcPr>
            <w:tcW w:w="1440" w:type="dxa"/>
          </w:tcPr>
          <w:p>
            <w:pPr>
              <w:pStyle w:val="12"/>
              <w:spacing w:before="159" w:line="210" w:lineRule="exact"/>
              <w:ind w:left="519" w:right="508"/>
              <w:jc w:val="center"/>
              <w:rPr>
                <w:rFonts w:hint="eastAsia" w:ascii="Times New Roman" w:eastAsia="宋体"/>
                <w:sz w:val="20"/>
                <w:lang w:eastAsia="zh-CN"/>
              </w:rPr>
            </w:pPr>
            <w:r>
              <w:rPr>
                <w:rFonts w:hint="eastAsia" w:ascii="Times New Roman"/>
                <w:sz w:val="2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7" w:type="dxa"/>
            <w:gridSpan w:val="2"/>
          </w:tcPr>
          <w:p>
            <w:pPr>
              <w:pStyle w:val="12"/>
              <w:spacing w:before="1"/>
              <w:rPr>
                <w:sz w:val="13"/>
              </w:rPr>
            </w:pPr>
          </w:p>
          <w:p>
            <w:pPr>
              <w:pStyle w:val="12"/>
              <w:spacing w:line="213" w:lineRule="exact"/>
              <w:ind w:left="8"/>
              <w:rPr>
                <w:sz w:val="18"/>
              </w:rPr>
            </w:pPr>
            <w:r>
              <w:rPr>
                <w:sz w:val="18"/>
              </w:rPr>
              <w:t>总分</w:t>
            </w:r>
          </w:p>
        </w:tc>
        <w:tc>
          <w:tcPr>
            <w:tcW w:w="1440" w:type="dxa"/>
          </w:tcPr>
          <w:p>
            <w:pPr>
              <w:pStyle w:val="12"/>
              <w:spacing w:before="171" w:line="210" w:lineRule="exact"/>
              <w:ind w:left="519" w:right="50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</w:t>
            </w:r>
          </w:p>
        </w:tc>
      </w:tr>
    </w:tbl>
    <w:p/>
    <w:sectPr>
      <w:pgSz w:w="11900" w:h="16840"/>
      <w:pgMar w:top="1600" w:right="12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53728"/>
    <w:multiLevelType w:val="multilevel"/>
    <w:tmpl w:val="24353728"/>
    <w:lvl w:ilvl="0" w:tentative="0">
      <w:start w:val="2"/>
      <w:numFmt w:val="japaneseCounting"/>
      <w:lvlText w:val="%1、"/>
      <w:lvlJc w:val="left"/>
      <w:pPr>
        <w:ind w:left="1248" w:hanging="720"/>
      </w:pPr>
      <w:rPr>
        <w:rFonts w:hint="default"/>
      </w:rPr>
    </w:lvl>
    <w:lvl w:ilvl="1" w:tentative="0">
      <w:start w:val="2"/>
      <w:numFmt w:val="decimal"/>
      <w:lvlText w:val="%2、"/>
      <w:lvlJc w:val="left"/>
      <w:pPr>
        <w:ind w:left="1668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788" w:hanging="420"/>
      </w:pPr>
    </w:lvl>
    <w:lvl w:ilvl="3" w:tentative="0">
      <w:start w:val="1"/>
      <w:numFmt w:val="decimal"/>
      <w:lvlText w:val="%4."/>
      <w:lvlJc w:val="left"/>
      <w:pPr>
        <w:ind w:left="2208" w:hanging="420"/>
      </w:pPr>
    </w:lvl>
    <w:lvl w:ilvl="4" w:tentative="0">
      <w:start w:val="1"/>
      <w:numFmt w:val="lowerLetter"/>
      <w:lvlText w:val="%5)"/>
      <w:lvlJc w:val="left"/>
      <w:pPr>
        <w:ind w:left="2628" w:hanging="420"/>
      </w:pPr>
    </w:lvl>
    <w:lvl w:ilvl="5" w:tentative="0">
      <w:start w:val="1"/>
      <w:numFmt w:val="lowerRoman"/>
      <w:lvlText w:val="%6."/>
      <w:lvlJc w:val="right"/>
      <w:pPr>
        <w:ind w:left="3048" w:hanging="420"/>
      </w:pPr>
    </w:lvl>
    <w:lvl w:ilvl="6" w:tentative="0">
      <w:start w:val="1"/>
      <w:numFmt w:val="decimal"/>
      <w:lvlText w:val="%7."/>
      <w:lvlJc w:val="left"/>
      <w:pPr>
        <w:ind w:left="3468" w:hanging="420"/>
      </w:pPr>
    </w:lvl>
    <w:lvl w:ilvl="7" w:tentative="0">
      <w:start w:val="1"/>
      <w:numFmt w:val="lowerLetter"/>
      <w:lvlText w:val="%8)"/>
      <w:lvlJc w:val="left"/>
      <w:pPr>
        <w:ind w:left="3888" w:hanging="420"/>
      </w:pPr>
    </w:lvl>
    <w:lvl w:ilvl="8" w:tentative="0">
      <w:start w:val="1"/>
      <w:numFmt w:val="lowerRoman"/>
      <w:lvlText w:val="%9."/>
      <w:lvlJc w:val="right"/>
      <w:pPr>
        <w:ind w:left="430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42FAB"/>
    <w:rsid w:val="00053105"/>
    <w:rsid w:val="003409A0"/>
    <w:rsid w:val="00342FAB"/>
    <w:rsid w:val="003B460F"/>
    <w:rsid w:val="006C5331"/>
    <w:rsid w:val="00A95E7F"/>
    <w:rsid w:val="00BE5D55"/>
    <w:rsid w:val="00C75AEF"/>
    <w:rsid w:val="00D129B9"/>
    <w:rsid w:val="00DB65D8"/>
    <w:rsid w:val="00EA5625"/>
    <w:rsid w:val="00FB5544"/>
    <w:rsid w:val="31AC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528"/>
      <w:outlineLvl w:val="0"/>
    </w:pPr>
    <w:rPr>
      <w:sz w:val="24"/>
      <w:szCs w:val="24"/>
    </w:rPr>
  </w:style>
  <w:style w:type="paragraph" w:styleId="3">
    <w:name w:val="heading 2"/>
    <w:basedOn w:val="1"/>
    <w:next w:val="1"/>
    <w:qFormat/>
    <w:uiPriority w:val="1"/>
    <w:pPr>
      <w:ind w:left="1548" w:right="744" w:hanging="401"/>
      <w:outlineLvl w:val="1"/>
    </w:pPr>
    <w:rPr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18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qFormat/>
    <w:uiPriority w:val="1"/>
    <w:pPr>
      <w:spacing w:before="62"/>
      <w:ind w:left="324" w:right="2065"/>
      <w:jc w:val="center"/>
    </w:pPr>
    <w:rPr>
      <w:sz w:val="28"/>
      <w:szCs w:val="2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147" w:hanging="320"/>
      <w:jc w:val="both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9"/>
    <w:link w:val="6"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4">
    <w:name w:val="页脚 Char"/>
    <w:basedOn w:val="9"/>
    <w:link w:val="5"/>
    <w:uiPriority w:val="99"/>
    <w:rPr>
      <w:rFonts w:ascii="宋体" w:hAnsi="宋体" w:eastAsia="宋体" w:cs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270</Words>
  <Characters>1542</Characters>
  <Lines>12</Lines>
  <Paragraphs>3</Paragraphs>
  <TotalTime>1</TotalTime>
  <ScaleCrop>false</ScaleCrop>
  <LinksUpToDate>false</LinksUpToDate>
  <CharactersWithSpaces>1809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2021-03-08T10:25:00Z</dcterms:created>
  <dc:creator>ADl</dc:creator>
  <cp:lastModifiedBy>守护</cp:lastModifiedBy>
  <dcterms:modified xsi:type="dcterms:W3CDTF">2021-03-15T01:59:15Z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2021-03-08T00:00:00Z</vt:filetime>
  </property>
  <property fmtid="{D5CDD505-2E9C-101B-9397-08002B2CF9AE}" pid="5" name="KSOProductBuildVer">
    <vt:lpwstr>2052-11.1.0.10314</vt:lpwstr>
  </property>
</Properties>
</file>